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967" w:rsidRDefault="00E00967" w:rsidP="00E00967">
      <w:pPr>
        <w:pStyle w:val="NormlWeb"/>
      </w:pPr>
      <w:bookmarkStart w:id="0" w:name="_GoBack"/>
      <w:bookmarkEnd w:id="0"/>
      <w:r>
        <w:rPr>
          <w:rStyle w:val="Kiemels2"/>
        </w:rPr>
        <w:t>Településképi Arculati Kézikönyv és Településképi Rendelet - közérthető összefoglaló</w:t>
      </w:r>
    </w:p>
    <w:p w:rsidR="007F4E4D" w:rsidRPr="00257966" w:rsidRDefault="00257966" w:rsidP="00E00967">
      <w:pPr>
        <w:pStyle w:val="NormlWeb"/>
      </w:pPr>
      <w:r w:rsidRPr="00257966">
        <w:t>A Kézikönyv és az erre alapuló településképi rendelet (a településkép védelméről szóló 2016. évi LXXIV. törvény) segít abban, hogy a településen élő emberek, jobban vigyázzanak a helyi értékekre és megismerjék őseik életét. A Község, biztos pont mindenki számára. Ahol jó élni, dolgozni, tanulni, pihenni ahová mindig jó haza térni. Környezetünk általunk, velünk együtt él, fejlődik, úgy, amerre mi tudatosan vagy éppen tudat alatt formáljuk. Ezért fektetünk nagy hangsúlyt az épített és természeti értékek megőrzésével összhangban álló tudatos és ütemezett fejlesztésekre.</w:t>
      </w:r>
    </w:p>
    <w:p w:rsidR="00E00967" w:rsidRDefault="00E00967" w:rsidP="00E00967">
      <w:pPr>
        <w:pStyle w:val="NormlWeb"/>
      </w:pPr>
      <w:r>
        <w:t>A kézikönyv készítése során a település lakossága, a helyi közösségek végig</w:t>
      </w:r>
      <w:r w:rsidR="00257966">
        <w:t xml:space="preserve"> </w:t>
      </w:r>
      <w:r>
        <w:t xml:space="preserve">gondolhatták azt, hogy milyen környezetben szeretnének élni, hogyan őrizhetik meg és fejleszthetik a település építészeti </w:t>
      </w:r>
      <w:proofErr w:type="spellStart"/>
      <w:r>
        <w:t>arculatát</w:t>
      </w:r>
      <w:proofErr w:type="spellEnd"/>
      <w:r>
        <w:t>, vizuális kultúráját. Ennek során megállapítást nyert, hogy épített környezetünk egyes elemei, épületei, természeti értékei közül mit tekinthetünk a helyi identitás szempontjából örökségnek.</w:t>
      </w:r>
    </w:p>
    <w:p w:rsidR="00E00967" w:rsidRDefault="00E00967" w:rsidP="00E00967">
      <w:pPr>
        <w:pStyle w:val="NormlWeb"/>
      </w:pPr>
      <w:r>
        <w:t>A kézikönyvben meghatározásra kerültek a településképi jellemzők, a településképileg egymástól jól elkülönülő településrészek és azok jellemző karakterjegyei, a településkép minőségi formálására vonatkozó javaslatok, valamint a településképhez illeszkedő építészeti elemek, melyek egyúttal irányt is mutatnak az építkezni szándékozóknak.</w:t>
      </w:r>
    </w:p>
    <w:p w:rsidR="00E00967" w:rsidRDefault="00E00967" w:rsidP="00E00967">
      <w:pPr>
        <w:pStyle w:val="NormlWeb"/>
      </w:pPr>
      <w:r>
        <w:t>A kézikönyv lényegében a település építészeti örökségének és jelenének tükre. Ajánlásaival, jó példáival lehetőséget kínál arra, hogy az építészek a hely, a hely szellemének és a településszerkezet, a településkép megismerése után olyan házakat tervezhessenek, melyek a településképet oly módon fejlesztik, hogy tekintettel vannak az építészeti örökségre is.</w:t>
      </w:r>
    </w:p>
    <w:p w:rsidR="00E00967" w:rsidRDefault="00E00967" w:rsidP="00E00967">
      <w:pPr>
        <w:pStyle w:val="NormlWeb"/>
      </w:pPr>
      <w:r>
        <w:t>A kézikönyv reményeink szerint segítséget nyújt az építtetőnek és az építésznek egyaránt abban, hogy az épület elhelyezése alkalmazkodjon a településszerkezethez, a beépítés kialakult rendjéhez, a házak léptékükkel, tömegükkel és külső részleteikben is harmonikusan illeszkedjenek a kialakult utcaképekhez.</w:t>
      </w:r>
    </w:p>
    <w:p w:rsidR="00E00967" w:rsidRDefault="00E00967" w:rsidP="00E00967">
      <w:pPr>
        <w:pStyle w:val="NormlWeb"/>
      </w:pPr>
      <w:r>
        <w:t>Az ajánlások nem tekinthetők szigorúan kötelező jellegűnek, céljuk nem a tervezési szabadság csorbítása, inkább orientálás a kialakult, jellegzetes és értékes helyi formavilág, anyag- és színhasználat alkalmazására, a település karakteréhez leginkább illeszkedő választási lehetőségek bemutatásával.</w:t>
      </w:r>
    </w:p>
    <w:p w:rsidR="00E00967" w:rsidRDefault="00E00967" w:rsidP="00E00967">
      <w:pPr>
        <w:pStyle w:val="NormlWeb"/>
      </w:pPr>
      <w:r>
        <w:t>A kézikönyv nem egy lezárt mű, folyamatosan bővíthető, fejleszthető, ahogyan a település is formálódik, változik, fejlődik.</w:t>
      </w:r>
    </w:p>
    <w:p w:rsidR="00E00967" w:rsidRDefault="00E00967" w:rsidP="00E00967">
      <w:pPr>
        <w:pStyle w:val="NormlWeb"/>
      </w:pPr>
      <w:r>
        <w:t>A TAK elkészítésénél segítség volt az egyeztetésben résztvevő államigazgatási szervek előzetes adatközlése, a helyi lokálpatrióták, építészek aktív részvétele, akik helyismeretükkel, javaslataikkal, fényképeikkel segítették a kézikönyvet összeállító tervezők munkáját, mely így bizonyos értelemben egy szakmai-társadalmi konszenzus eredményét tükrözi.</w:t>
      </w:r>
    </w:p>
    <w:p w:rsidR="00E00967" w:rsidRDefault="00E00967" w:rsidP="00E00967">
      <w:pPr>
        <w:pStyle w:val="NormlWeb"/>
      </w:pPr>
      <w:r>
        <w:t>Az egyeztetés során a partnerségi rendeletben rögzítettek szerint lakossági fórum került összehívásra, melynek keretében a tervezők ismertették az egyeztetés előtt álló kézikönyvet és a településképi rendelet-tervezetet, valamint bemutatásra került az arculati kézikönyv ajánlásainak településképi rendeletben történő leképezése.</w:t>
      </w:r>
    </w:p>
    <w:p w:rsidR="00E00967" w:rsidRDefault="00E00967" w:rsidP="00E00967">
      <w:pPr>
        <w:pStyle w:val="NormlWeb"/>
      </w:pPr>
      <w:r>
        <w:lastRenderedPageBreak/>
        <w:t>Fentieken túlmenően informális műhelybeszélgetésre is adódott lehetőség a településen élő és alkotó építésztervezőkkel.</w:t>
      </w:r>
    </w:p>
    <w:p w:rsidR="00E00967" w:rsidRDefault="00E00967" w:rsidP="00E00967">
      <w:pPr>
        <w:pStyle w:val="NormlWeb"/>
      </w:pPr>
      <w:r>
        <w:t>A TKR a TAK ajánlásaira alapozottan a helyi értékek figyelembevételével, a képviselő–testülettel egyeztetve került összeállításra.</w:t>
      </w:r>
    </w:p>
    <w:p w:rsidR="00E00967" w:rsidRDefault="00E00967" w:rsidP="00E00967">
      <w:pPr>
        <w:pStyle w:val="NormlWeb"/>
      </w:pPr>
      <w:r>
        <w:t>A rendelet célja a település sajátos településképének védelme és alakítása, a rendelet helyi értékvédelmi előírásainak célja pedig a település történelme, településképe szempontjából meghatározó, hagyományt őrző, sajátos megjelenésű építészeti örökség megőrzése. A településképi rendelet lehatárolta a településképi szempontból meghatározó területeket és azokra szabályokat fogalmazott meg. A rendelet a településképi követelmények meghatározása mellett szabályozza az egyes sajátos berendezések, műtárgyak elhelyezésének feltételeit is. A reklámokra, reklámhordozókra vonatkozó előírások a képviselő-testület részéről megfogalmazott „reklámzaj-mentes település” szellemében lettek meghatározva. A településképi rendelet előírásainak betartását településkép érvényesítési eszközök és ösztönzési rendszer segítik.</w:t>
      </w:r>
    </w:p>
    <w:p w:rsidR="00E00967" w:rsidRDefault="00E00967" w:rsidP="00E00967">
      <w:pPr>
        <w:pStyle w:val="NormlWeb"/>
      </w:pPr>
      <w:r>
        <w:t>A településképi rendelet a hatályos jogszabályok betartásával, a település sajátosságainak figyelembevételével készült.</w:t>
      </w:r>
    </w:p>
    <w:p w:rsidR="00E00967" w:rsidRDefault="00E00967" w:rsidP="00E00967">
      <w:pPr>
        <w:pStyle w:val="NormlWeb"/>
      </w:pPr>
      <w:r>
        <w:t>Összességében a TAK a településkép vonatkozásában fontos szemléletformáló eszköz lehet, míg a TKR keretében rögzített helyi védelem a jövő generációk számára megőrzi az értékeket, a településkép jövőbeni formálása során pedig biztosítja a helyi sajátosságok figyelembevételét.</w:t>
      </w:r>
    </w:p>
    <w:p w:rsidR="00E00967" w:rsidRDefault="00E00967" w:rsidP="00E00967">
      <w:pPr>
        <w:pStyle w:val="NormlWeb"/>
      </w:pPr>
      <w:r>
        <w:rPr>
          <w:rStyle w:val="Kiemels"/>
        </w:rPr>
        <w:t>Szabó Gergely</w:t>
      </w:r>
      <w:r>
        <w:br/>
      </w:r>
      <w:r>
        <w:rPr>
          <w:rStyle w:val="Kiemels"/>
        </w:rPr>
        <w:t>polgármester</w:t>
      </w:r>
    </w:p>
    <w:p w:rsidR="003E3BD8" w:rsidRDefault="003E3BD8"/>
    <w:sectPr w:rsidR="003E3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03B08"/>
    <w:multiLevelType w:val="multilevel"/>
    <w:tmpl w:val="CBD8B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67"/>
    <w:rsid w:val="00257966"/>
    <w:rsid w:val="00391761"/>
    <w:rsid w:val="003E3BD8"/>
    <w:rsid w:val="0053594E"/>
    <w:rsid w:val="007F4E4D"/>
    <w:rsid w:val="00DB1600"/>
    <w:rsid w:val="00E009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6E5C4-815C-4FA1-9696-31233A12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next w:val="Norml"/>
    <w:link w:val="Cmsor3Char"/>
    <w:qFormat/>
    <w:rsid w:val="00391761"/>
    <w:pPr>
      <w:keepNext/>
      <w:widowControl w:val="0"/>
      <w:numPr>
        <w:ilvl w:val="2"/>
        <w:numId w:val="2"/>
      </w:numPr>
      <w:tabs>
        <w:tab w:val="num" w:pos="0"/>
      </w:tabs>
      <w:suppressAutoHyphens/>
      <w:spacing w:before="240" w:after="240" w:line="240" w:lineRule="auto"/>
      <w:ind w:left="720"/>
      <w:outlineLvl w:val="2"/>
    </w:pPr>
    <w:rPr>
      <w:rFonts w:ascii="Times New Roman" w:eastAsia="SimSun" w:hAnsi="Times New Roman" w:cs="Mangal"/>
      <w:b/>
      <w:bCs/>
      <w:kern w:val="1"/>
      <w:sz w:val="24"/>
      <w:szCs w:val="26"/>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91761"/>
    <w:rPr>
      <w:rFonts w:ascii="Times New Roman" w:eastAsia="SimSun" w:hAnsi="Times New Roman" w:cs="Mangal"/>
      <w:b/>
      <w:bCs/>
      <w:kern w:val="1"/>
      <w:sz w:val="24"/>
      <w:szCs w:val="26"/>
      <w:lang w:eastAsia="zh-CN" w:bidi="hi-IN"/>
    </w:rPr>
  </w:style>
  <w:style w:type="paragraph" w:styleId="NormlWeb">
    <w:name w:val="Normal (Web)"/>
    <w:basedOn w:val="Norml"/>
    <w:uiPriority w:val="99"/>
    <w:unhideWhenUsed/>
    <w:rsid w:val="00E0096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00967"/>
    <w:rPr>
      <w:b/>
      <w:bCs/>
    </w:rPr>
  </w:style>
  <w:style w:type="character" w:styleId="Kiemels">
    <w:name w:val="Emphasis"/>
    <w:basedOn w:val="Bekezdsalapbettpusa"/>
    <w:uiPriority w:val="20"/>
    <w:qFormat/>
    <w:rsid w:val="00E00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4068</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iktato-pc</cp:lastModifiedBy>
  <cp:revision>2</cp:revision>
  <dcterms:created xsi:type="dcterms:W3CDTF">2019-02-20T09:59:00Z</dcterms:created>
  <dcterms:modified xsi:type="dcterms:W3CDTF">2019-02-20T09:59:00Z</dcterms:modified>
</cp:coreProperties>
</file>